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Tranås kommunfullmäktige</w:t>
      </w:r>
    </w:p>
    <w:p>
      <w:pPr>
        <w:pStyle w:val="Heading1"/>
      </w:pPr>
      <w:r>
        <w:t xml:space="preserve">Förenkla tillståndsprocesser för lokala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Tranås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Tranås rankas 142 i Svenskt Näringslivs företagsklimat 2025, bland annat på grund av långa handläggningstider för bygglov och miljöprövningar. Detta försvårar expansion för möbelindustrin och besöksnäringen.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Tranås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8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förenklade ansökningar införs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företagslots inrättas inom näringslivskontoret.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utvärdering av handläggningstider redovisas för kommunfullmäktige.</w:t>
      </w:r>
    </w:p>
    <w:p>
      <w:pPr>
        <w:spacing w:before="360"/>
      </w:pPr>
    </w:p>
    <w:p>
      <w:r>
        <w:t xml:space="preserve">Tranås,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Tranås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2026-07-14T01:35:01.572Z</dcterms:created>
  <dcterms:modified xsi:type="dcterms:W3CDTF">2026-07-14T01:35:01.572Z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